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D6D" w:rsidRDefault="000D4D6D" w:rsidP="000D4D6D">
      <w:pPr>
        <w:spacing w:line="480" w:lineRule="auto"/>
        <w:jc w:val="center"/>
      </w:pPr>
    </w:p>
    <w:p w:rsidR="000D4D6D" w:rsidRDefault="000D4D6D" w:rsidP="000D4D6D">
      <w:pPr>
        <w:spacing w:line="480" w:lineRule="auto"/>
        <w:jc w:val="center"/>
      </w:pPr>
    </w:p>
    <w:p w:rsidR="000D4D6D" w:rsidRDefault="000D4D6D" w:rsidP="000D4D6D">
      <w:pPr>
        <w:spacing w:line="480" w:lineRule="auto"/>
        <w:jc w:val="center"/>
      </w:pPr>
    </w:p>
    <w:p w:rsidR="000D4D6D" w:rsidRDefault="000D4D6D" w:rsidP="000D4D6D">
      <w:pPr>
        <w:spacing w:line="480" w:lineRule="auto"/>
        <w:jc w:val="center"/>
      </w:pPr>
    </w:p>
    <w:p w:rsidR="000D4D6D" w:rsidRDefault="000D4D6D" w:rsidP="000D4D6D">
      <w:pPr>
        <w:spacing w:line="480" w:lineRule="auto"/>
        <w:jc w:val="center"/>
      </w:pPr>
    </w:p>
    <w:p w:rsidR="000D4D6D" w:rsidRDefault="000D4D6D" w:rsidP="000D4D6D">
      <w:pPr>
        <w:spacing w:line="480" w:lineRule="auto"/>
        <w:jc w:val="center"/>
      </w:pPr>
    </w:p>
    <w:p w:rsidR="000D4D6D" w:rsidRDefault="000D4D6D" w:rsidP="000D4D6D">
      <w:pPr>
        <w:spacing w:line="480" w:lineRule="auto"/>
        <w:jc w:val="center"/>
      </w:pPr>
    </w:p>
    <w:p w:rsidR="000D4D6D" w:rsidRDefault="000D4D6D" w:rsidP="000D4D6D">
      <w:pPr>
        <w:spacing w:line="480" w:lineRule="auto"/>
        <w:jc w:val="center"/>
      </w:pPr>
    </w:p>
    <w:p w:rsidR="00A521C1" w:rsidRDefault="00A521C1" w:rsidP="000D4D6D">
      <w:pPr>
        <w:spacing w:line="480" w:lineRule="auto"/>
        <w:jc w:val="center"/>
      </w:pPr>
      <w:r>
        <w:t>Regulations Dilemma</w:t>
      </w:r>
    </w:p>
    <w:p w:rsidR="000D4D6D" w:rsidRDefault="000D4D6D" w:rsidP="000D4D6D">
      <w:pPr>
        <w:spacing w:line="480" w:lineRule="auto"/>
        <w:jc w:val="center"/>
      </w:pPr>
      <w:r>
        <w:t>Name</w:t>
      </w:r>
    </w:p>
    <w:p w:rsidR="000D4D6D" w:rsidRDefault="000D4D6D" w:rsidP="000D4D6D">
      <w:pPr>
        <w:spacing w:line="480" w:lineRule="auto"/>
        <w:jc w:val="center"/>
      </w:pPr>
      <w:r>
        <w:t>Institution</w:t>
      </w:r>
    </w:p>
    <w:p w:rsidR="000D4D6D" w:rsidRDefault="000D4D6D" w:rsidP="000D4D6D">
      <w:pPr>
        <w:spacing w:line="480" w:lineRule="auto"/>
        <w:jc w:val="center"/>
      </w:pPr>
      <w:r>
        <w:t>Date</w:t>
      </w:r>
    </w:p>
    <w:p w:rsidR="000D4D6D" w:rsidRDefault="000D4D6D" w:rsidP="000D4D6D">
      <w:pPr>
        <w:spacing w:line="480" w:lineRule="auto"/>
        <w:jc w:val="center"/>
      </w:pPr>
    </w:p>
    <w:p w:rsidR="000D4D6D" w:rsidRDefault="000D4D6D" w:rsidP="000D4D6D">
      <w:pPr>
        <w:spacing w:line="480" w:lineRule="auto"/>
        <w:jc w:val="center"/>
      </w:pPr>
    </w:p>
    <w:p w:rsidR="000D4D6D" w:rsidRDefault="000D4D6D" w:rsidP="000D4D6D">
      <w:pPr>
        <w:spacing w:line="480" w:lineRule="auto"/>
        <w:jc w:val="center"/>
      </w:pPr>
    </w:p>
    <w:p w:rsidR="000D4D6D" w:rsidRDefault="000D4D6D" w:rsidP="000D4D6D">
      <w:pPr>
        <w:spacing w:line="480" w:lineRule="auto"/>
        <w:jc w:val="center"/>
      </w:pPr>
    </w:p>
    <w:p w:rsidR="000D4D6D" w:rsidRDefault="000D4D6D" w:rsidP="000D4D6D">
      <w:pPr>
        <w:spacing w:line="480" w:lineRule="auto"/>
        <w:jc w:val="center"/>
      </w:pPr>
    </w:p>
    <w:p w:rsidR="000D4D6D" w:rsidRDefault="000D4D6D" w:rsidP="000D4D6D">
      <w:pPr>
        <w:spacing w:line="480" w:lineRule="auto"/>
        <w:jc w:val="center"/>
      </w:pPr>
      <w:r>
        <w:lastRenderedPageBreak/>
        <w:t>Regulations Dilemma</w:t>
      </w:r>
    </w:p>
    <w:p w:rsidR="008401A0" w:rsidRPr="008401A0" w:rsidRDefault="008401A0" w:rsidP="008401A0">
      <w:pPr>
        <w:spacing w:line="480" w:lineRule="auto"/>
        <w:jc w:val="center"/>
        <w:rPr>
          <w:b/>
        </w:rPr>
      </w:pPr>
      <w:r w:rsidRPr="008401A0">
        <w:rPr>
          <w:b/>
        </w:rPr>
        <w:t>Question 1</w:t>
      </w:r>
    </w:p>
    <w:p w:rsidR="008401A0" w:rsidRDefault="008401A0" w:rsidP="008401A0">
      <w:pPr>
        <w:spacing w:line="480" w:lineRule="auto"/>
        <w:ind w:firstLine="720"/>
      </w:pPr>
      <w:r>
        <w:t xml:space="preserve"> The case study presents a crisis management dilemma. Jay Carlos and his wife Leigh Carlos founded the East Hampshire's home for the mentally retarded to exploit the new opportunity that sprung out when social services experts provided an insight for the mentally retarded adults to live a fuller life in facilities embodying home environment. The alliance between the two seemed perfect since Jay was a renowned businessman with loads of experience, and Leigh was a registered nurse. For this reason, Leigh was the head of the East Hampshire's medical services, and thus mandated with overseeing the organization's compliance with safety regulations as well as local, state, and federal policies (Borden &amp; Cooper, 2006). </w:t>
      </w:r>
    </w:p>
    <w:p w:rsidR="008401A0" w:rsidRDefault="008401A0" w:rsidP="008401A0">
      <w:pPr>
        <w:spacing w:line="480" w:lineRule="auto"/>
        <w:ind w:firstLine="720"/>
      </w:pPr>
      <w:r>
        <w:t xml:space="preserve">Initially, before the sprouting of home care facilities for the mentally retarded, the retards were cared in massive health-care like facilities. As a result, it involved the employees using hospital equipment like injections and hence disposing them to contact with bodily fluids. According to OSHA regulations, the organizations were recommended to have a bloodborne pathogen policy to protect the employees from blood-borne pathogens as well as an employee hepatitis vaccination procedure (Borden &amp; Cooper, 2006). On the contrary, the new industry, though embodying the healthcare facilities in terms of treatment and workers who were predominantly nurses, did not involve the risky procedures such as injections which could predispose the workers to blood-borne pathogens and hepatitis B. </w:t>
      </w:r>
    </w:p>
    <w:p w:rsidR="008401A0" w:rsidRDefault="008401A0" w:rsidP="008401A0">
      <w:pPr>
        <w:spacing w:line="480" w:lineRule="auto"/>
        <w:ind w:firstLine="720"/>
      </w:pPr>
      <w:r>
        <w:t xml:space="preserve">The dilemma facing East Hampshire's medical services is being asked to allow the OSHA representative to investigate the blood-borne pathogen policy as well as the employee-hepatitis vaccination procedure, which they did not apply for. This is in line with the OSHA regulations </w:t>
      </w:r>
      <w:r>
        <w:lastRenderedPageBreak/>
        <w:t xml:space="preserve">since the business has a strategy of protecting its workers. Insights from the attorney were that Jay should seek legal redress since his company complied with the regulations (Borden &amp; Cooper, 2006). On the other hand, a competitor business advised Jay to apply for the programs to prevent looming penalties. </w:t>
      </w:r>
    </w:p>
    <w:p w:rsidR="008401A0" w:rsidRPr="008401A0" w:rsidRDefault="008401A0" w:rsidP="008401A0">
      <w:pPr>
        <w:spacing w:line="480" w:lineRule="auto"/>
        <w:ind w:firstLine="720"/>
        <w:jc w:val="center"/>
        <w:rPr>
          <w:b/>
        </w:rPr>
      </w:pPr>
      <w:r w:rsidRPr="008401A0">
        <w:rPr>
          <w:b/>
        </w:rPr>
        <w:t>Question 2</w:t>
      </w:r>
    </w:p>
    <w:p w:rsidR="008401A0" w:rsidRDefault="008401A0" w:rsidP="008401A0">
      <w:pPr>
        <w:spacing w:line="480" w:lineRule="auto"/>
        <w:ind w:firstLine="720"/>
      </w:pPr>
      <w:r>
        <w:t xml:space="preserve">Most industries have clear-cut regulations that every business in the industry should comply with. On the contrary, some industries lack clearly spelled out regulations; as a result, predisposing businesses in the industry in critical situations calling for crisis management (Edwards, 2014). Compliance with regulations program in a given industry forms a critical part of effective crisis management. Moreover, compliance standards like the OSHA stipulations are not just a matter of fulfilling the industrial policies but also as a way maintaining ethical health of customers and employees, hence supporting the organization's long term sustainability as well as maintaining and promoting its values. </w:t>
      </w:r>
    </w:p>
    <w:p w:rsidR="008401A0" w:rsidRDefault="008401A0" w:rsidP="008401A0">
      <w:pPr>
        <w:spacing w:line="480" w:lineRule="auto"/>
        <w:ind w:firstLine="720"/>
      </w:pPr>
      <w:r>
        <w:t xml:space="preserve">The dilemma that faces organizations that do not meet the OSHA regulations is hefty fines or ultimate shut down. In relation to the case study in question, I find Jay's business completely compliant with the OSHA standards. However, the fact that Fred, the attorney, argues that the OSHA regulations require court interpretation springs out a question that East Hampshire medical facility might be out of the OSHA standards. According to Warren of the New Horizon Homes, a competitor of the East Hampshire, failure to comply with the OSHA standards resulted in accruing fines from other areas other than the vaccination program (Borden &amp; Cooper, 2006). Warren's recount of the relationship with the OSHA representative depicts the </w:t>
      </w:r>
      <w:r>
        <w:lastRenderedPageBreak/>
        <w:t xml:space="preserve">OSHA regulators as blackmailers who run their operations by the finances they get from taxing non-compliant businesses. </w:t>
      </w:r>
    </w:p>
    <w:p w:rsidR="008401A0" w:rsidRDefault="008401A0" w:rsidP="008401A0">
      <w:pPr>
        <w:spacing w:line="480" w:lineRule="auto"/>
        <w:ind w:firstLine="720"/>
      </w:pPr>
      <w:r>
        <w:t>In my conviction, while the East Hampshire home for mentally retarded was less of a health-care facility, I believe the risk for the blood-borne pathogen and Hepatitis B was still likely. Moreover, the stipulation of the OSHA was so open, and Leigh's interpretation of the regulation was based on the profit side of the business. OSHA defined occupational exposure as reasonably anticipated exposure to blood or other potentially infectious materials as the result of performing one's duties (Borden &amp; Cooper, 2006). Thus for Jay to resolve the differences in requirements from the federal agency, OSHA, versus the state, he has to comply with the OSHA stipulations which involve implementing employees' vaccine, then like advised by his attorney, ask the representative to come with the warrant and confirm that the company's policy is in line with the regulations.</w:t>
      </w:r>
    </w:p>
    <w:p w:rsidR="008401A0" w:rsidRPr="008401A0" w:rsidRDefault="008401A0" w:rsidP="008401A0">
      <w:pPr>
        <w:spacing w:line="480" w:lineRule="auto"/>
        <w:ind w:firstLine="720"/>
        <w:jc w:val="center"/>
        <w:rPr>
          <w:b/>
        </w:rPr>
      </w:pPr>
      <w:r w:rsidRPr="008401A0">
        <w:rPr>
          <w:b/>
        </w:rPr>
        <w:t>Question 3</w:t>
      </w:r>
    </w:p>
    <w:p w:rsidR="008401A0" w:rsidRPr="008401A0" w:rsidRDefault="008401A0" w:rsidP="008401A0">
      <w:pPr>
        <w:spacing w:line="480" w:lineRule="auto"/>
        <w:ind w:firstLine="720"/>
        <w:rPr>
          <w:i/>
        </w:rPr>
      </w:pPr>
      <w:r w:rsidRPr="008401A0">
        <w:rPr>
          <w:i/>
        </w:rPr>
        <w:t xml:space="preserve">The following is Porter's Five Forces Analysis for the intellectually disabled industry. </w:t>
      </w:r>
    </w:p>
    <w:p w:rsidR="008401A0" w:rsidRDefault="008401A0" w:rsidP="008401A0">
      <w:pPr>
        <w:spacing w:line="480" w:lineRule="auto"/>
        <w:ind w:firstLine="720"/>
      </w:pPr>
      <w:r>
        <w:t xml:space="preserve">The threat of New Entrants: The industry calls for strict compliance with the OSHA standards and other legal huddles hence becoming a threat to the new entrants (Borden &amp; Cooper, 2006). In addition, it calls for an understanding of the industry. In the case in question, Jay and Leigh had to study for about six months to start the business. Finally, the initial capital is a great hamper for the new entrants. Therefore, the threat of new entrants in this industry is very low. </w:t>
      </w:r>
    </w:p>
    <w:p w:rsidR="008401A0" w:rsidRDefault="008401A0" w:rsidP="008401A0">
      <w:pPr>
        <w:spacing w:line="480" w:lineRule="auto"/>
        <w:ind w:firstLine="720"/>
      </w:pPr>
      <w:r>
        <w:t xml:space="preserve">The threat of substitutes: the threat of substitutes is very low in the industry. The industry uses similar drugs to inhibit patients from aggression. In terms of specialization, different </w:t>
      </w:r>
      <w:r>
        <w:lastRenderedPageBreak/>
        <w:t>businesses take a different position, such as businesses that deal with a low level of mental ability. Other specializations include businesses dealing with mild, moderate, or severe mental abilities. The threat of substitute is low in the industry.</w:t>
      </w:r>
    </w:p>
    <w:p w:rsidR="008401A0" w:rsidRDefault="008401A0" w:rsidP="008401A0">
      <w:pPr>
        <w:spacing w:line="480" w:lineRule="auto"/>
        <w:ind w:firstLine="720"/>
      </w:pPr>
      <w:r>
        <w:t>Rivalry among Competitors: There are many regulatory and legal implications in this industry that requires huge initial capital. As a result, the businesses in these industries are operated by financially stable people or from non-profit seeking groups / philanthropic groups (Borden &amp; Cooper, 2006). There is no stiff competition in the industry; in fact, the competition is considered friendly.</w:t>
      </w:r>
    </w:p>
    <w:p w:rsidR="008401A0" w:rsidRDefault="008401A0" w:rsidP="008401A0">
      <w:pPr>
        <w:spacing w:line="480" w:lineRule="auto"/>
        <w:ind w:firstLine="720"/>
      </w:pPr>
      <w:r>
        <w:t xml:space="preserve">Customer Bargaining Power: The bargaining power of customers emanates from the available alternatives (Edwards, 2014). The available alternative of intellectually disabled persons is either keeping them at home or in home-care facilities; the former alternative is not appealing, and the latter seems like the most convincing option. Therefore, the bargaining power of customers in this industry is significantly suppressed. </w:t>
      </w:r>
    </w:p>
    <w:p w:rsidR="008401A0" w:rsidRDefault="008401A0" w:rsidP="008401A0">
      <w:pPr>
        <w:spacing w:line="480" w:lineRule="auto"/>
        <w:ind w:firstLine="720"/>
      </w:pPr>
      <w:r>
        <w:t>Suppliers Bargaining Power: In relations to suppliers, the industry is less fragmented, giving the suppliers strong bargaining power. The chemical restraints are unique inputs that give the supplier a bargaining edge of the businesses in this industry (Borden &amp; Cooper, 2006). Businesses operating in this industry are likely to enjoy maximum profits if they comply with the regulations which seem to be the greatest barrier. According to Porter's Five Force Analysis of the industry, the bargaining power of the suppliers is the only aspect that businesses in this industry cannot control.</w:t>
      </w:r>
    </w:p>
    <w:p w:rsidR="008401A0" w:rsidRDefault="008401A0" w:rsidP="008401A0">
      <w:pPr>
        <w:spacing w:line="480" w:lineRule="auto"/>
        <w:ind w:firstLine="720"/>
        <w:jc w:val="center"/>
        <w:rPr>
          <w:b/>
        </w:rPr>
      </w:pPr>
    </w:p>
    <w:p w:rsidR="008401A0" w:rsidRDefault="008401A0" w:rsidP="008401A0">
      <w:pPr>
        <w:spacing w:line="480" w:lineRule="auto"/>
        <w:ind w:firstLine="720"/>
        <w:jc w:val="center"/>
        <w:rPr>
          <w:b/>
        </w:rPr>
      </w:pPr>
    </w:p>
    <w:p w:rsidR="008401A0" w:rsidRPr="008401A0" w:rsidRDefault="008401A0" w:rsidP="008401A0">
      <w:pPr>
        <w:spacing w:line="480" w:lineRule="auto"/>
        <w:ind w:firstLine="720"/>
        <w:jc w:val="center"/>
        <w:rPr>
          <w:b/>
        </w:rPr>
      </w:pPr>
      <w:r w:rsidRPr="008401A0">
        <w:rPr>
          <w:b/>
        </w:rPr>
        <w:lastRenderedPageBreak/>
        <w:t>Question 4</w:t>
      </w:r>
    </w:p>
    <w:p w:rsidR="008401A0" w:rsidRDefault="008401A0" w:rsidP="008401A0">
      <w:pPr>
        <w:spacing w:line="480" w:lineRule="auto"/>
        <w:ind w:firstLine="720"/>
      </w:pPr>
      <w:r>
        <w:t xml:space="preserve">With an employee turnover rate in the industry ranging between 35% - 40% per year, a cost of $180 per employee would be counterproductive for the East Hampshire company (Borden &amp; Cooper, 2006). As a result, a sound strategy to reduce the staff turnover rate would be helpful to allow the business to comply with the OSHA regulations. In evaluating the general environment of the mentally retarded industry, the social-cultural segment provides a vital hint of how East Hampshire should reduce the staff turnover rate. </w:t>
      </w:r>
    </w:p>
    <w:p w:rsidR="008401A0" w:rsidRDefault="008401A0" w:rsidP="008401A0">
      <w:pPr>
        <w:spacing w:line="480" w:lineRule="auto"/>
        <w:ind w:firstLine="720"/>
      </w:pPr>
      <w:r>
        <w:t>According to Leigh, she had opted for cost-effective compliance policy that involved immunizing all the residents against the blood-borne pathogens and Hepatitis B; this allowed them to hire employees who lacked adequate nursing skills; in my knowledge, this was the underlying reason of the high staff turnover rate in this industry. The rationale of my observation is that it can be easy for other competitors to lure away employees with high wages. Moreover, some patients may require care from a professional nurse.</w:t>
      </w:r>
    </w:p>
    <w:p w:rsidR="008401A0" w:rsidRDefault="008401A0" w:rsidP="008401A0">
      <w:pPr>
        <w:spacing w:line="480" w:lineRule="auto"/>
        <w:ind w:firstLine="720"/>
      </w:pPr>
      <w:r>
        <w:t xml:space="preserve">The best solution for East Hampshire to reduce the staff-turnover rate is, therefore, to hire qualified nurses. Usually, hiring the right personnel who instantly feel that they have the right skills apt for their duties will help to reduce the turnover rate (Edwards, 2014).  This calls for setting a sound recruitment policy that spells clearly the expectations of the employee. This will build the right culture of the company and reduce nasty surprises that may fuel an employee leaving the company (Edwards, 2014). With this move, Jay can follow warren's advice on implementing an employees' vaccination program. Successful restructuring of the recruitment process would drastically slash $30,000 cost of implementing the employees' vaccination program. Therefore, I believe that the recruitment process is the primary contributor to the high </w:t>
      </w:r>
      <w:r>
        <w:lastRenderedPageBreak/>
        <w:t xml:space="preserve">staff turnover rate and restructuring of the process to include skilled nurses would help reduce the turnover rate. </w:t>
      </w:r>
    </w:p>
    <w:p w:rsidR="008401A0" w:rsidRDefault="008401A0" w:rsidP="008401A0">
      <w:pPr>
        <w:pStyle w:val="Bibliography"/>
        <w:spacing w:line="480" w:lineRule="auto"/>
        <w:ind w:left="720" w:hanging="720"/>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p>
    <w:p w:rsidR="008401A0" w:rsidRDefault="008401A0" w:rsidP="008401A0">
      <w:pPr>
        <w:pStyle w:val="Bibliography"/>
        <w:spacing w:line="480" w:lineRule="auto"/>
        <w:ind w:left="720" w:hanging="720"/>
        <w:jc w:val="center"/>
      </w:pPr>
      <w:r>
        <w:lastRenderedPageBreak/>
        <w:t>References</w:t>
      </w:r>
    </w:p>
    <w:p w:rsidR="000D4129" w:rsidRDefault="00E87B5C" w:rsidP="008401A0">
      <w:pPr>
        <w:pStyle w:val="Bibliography"/>
        <w:spacing w:line="480" w:lineRule="auto"/>
        <w:ind w:left="720" w:hanging="720"/>
        <w:rPr>
          <w:noProof/>
        </w:rPr>
      </w:pPr>
      <w:r>
        <w:fldChar w:fldCharType="begin"/>
      </w:r>
      <w:r w:rsidR="000D4129">
        <w:instrText xml:space="preserve"> BIBLIOGRAPHY  \l 1033 </w:instrText>
      </w:r>
      <w:r>
        <w:fldChar w:fldCharType="separate"/>
      </w:r>
      <w:r w:rsidR="000D4129">
        <w:rPr>
          <w:noProof/>
        </w:rPr>
        <w:t xml:space="preserve">Borden, K., &amp; Cooper, J. (2006). I'm from the Government -- and I'm Here to Help You. </w:t>
      </w:r>
      <w:r w:rsidR="000D4129">
        <w:rPr>
          <w:i/>
          <w:iCs w:val="0"/>
          <w:noProof/>
        </w:rPr>
        <w:t>Intergrative Cases</w:t>
      </w:r>
      <w:r w:rsidR="000D4129">
        <w:rPr>
          <w:noProof/>
        </w:rPr>
        <w:t>, 230-.</w:t>
      </w:r>
    </w:p>
    <w:p w:rsidR="000D4129" w:rsidRDefault="000D4129" w:rsidP="000D4D6D">
      <w:pPr>
        <w:pStyle w:val="Bibliography"/>
        <w:spacing w:line="480" w:lineRule="auto"/>
        <w:ind w:left="720" w:hanging="720"/>
        <w:rPr>
          <w:noProof/>
        </w:rPr>
      </w:pPr>
      <w:r>
        <w:rPr>
          <w:noProof/>
        </w:rPr>
        <w:t xml:space="preserve">Edwards, J. (2014). </w:t>
      </w:r>
      <w:r>
        <w:rPr>
          <w:i/>
          <w:iCs w:val="0"/>
          <w:noProof/>
        </w:rPr>
        <w:t>Mastering Strategic Management - 1st Canadian Edition.</w:t>
      </w:r>
      <w:r>
        <w:rPr>
          <w:noProof/>
        </w:rPr>
        <w:t xml:space="preserve"> Vancouver: BCcampus.</w:t>
      </w:r>
    </w:p>
    <w:p w:rsidR="000D4129" w:rsidRDefault="00E87B5C" w:rsidP="000D4D6D">
      <w:pPr>
        <w:spacing w:line="480" w:lineRule="auto"/>
        <w:ind w:hanging="720"/>
      </w:pPr>
      <w:r>
        <w:fldChar w:fldCharType="end"/>
      </w:r>
    </w:p>
    <w:sectPr w:rsidR="000D4129" w:rsidSect="00A521C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1614" w:rsidRDefault="001E1614" w:rsidP="00A521C1">
      <w:pPr>
        <w:spacing w:after="0"/>
      </w:pPr>
      <w:r>
        <w:separator/>
      </w:r>
    </w:p>
  </w:endnote>
  <w:endnote w:type="continuationSeparator" w:id="1">
    <w:p w:rsidR="001E1614" w:rsidRDefault="001E1614" w:rsidP="00A521C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1614" w:rsidRDefault="001E1614" w:rsidP="00A521C1">
      <w:pPr>
        <w:spacing w:after="0"/>
      </w:pPr>
      <w:r>
        <w:separator/>
      </w:r>
    </w:p>
  </w:footnote>
  <w:footnote w:type="continuationSeparator" w:id="1">
    <w:p w:rsidR="001E1614" w:rsidRDefault="001E1614" w:rsidP="00A521C1">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29" w:rsidRDefault="000D4129">
    <w:pPr>
      <w:pStyle w:val="Header"/>
      <w:jc w:val="right"/>
    </w:pPr>
    <w:r>
      <w:t xml:space="preserve">REGULATIONS DILEMMA                                                                                                         </w:t>
    </w:r>
    <w:sdt>
      <w:sdtPr>
        <w:id w:val="1303500"/>
        <w:docPartObj>
          <w:docPartGallery w:val="Page Numbers (Top of Page)"/>
          <w:docPartUnique/>
        </w:docPartObj>
      </w:sdtPr>
      <w:sdtContent>
        <w:fldSimple w:instr=" PAGE   \* MERGEFORMAT ">
          <w:r w:rsidR="008401A0">
            <w:rPr>
              <w:noProof/>
            </w:rPr>
            <w:t>7</w:t>
          </w:r>
        </w:fldSimple>
      </w:sdtContent>
    </w:sdt>
  </w:p>
  <w:p w:rsidR="000D4129" w:rsidRDefault="000D412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129" w:rsidRDefault="000D4129">
    <w:pPr>
      <w:pStyle w:val="Header"/>
      <w:jc w:val="right"/>
    </w:pPr>
    <w:r>
      <w:t xml:space="preserve">Running head: REGULATIONS DILEMMA                                                                                 </w:t>
    </w:r>
    <w:sdt>
      <w:sdtPr>
        <w:id w:val="1303344"/>
        <w:docPartObj>
          <w:docPartGallery w:val="Page Numbers (Top of Page)"/>
          <w:docPartUnique/>
        </w:docPartObj>
      </w:sdtPr>
      <w:sdtContent>
        <w:fldSimple w:instr=" PAGE   \* MERGEFORMAT ">
          <w:r w:rsidR="008401A0">
            <w:rPr>
              <w:noProof/>
            </w:rPr>
            <w:t>1</w:t>
          </w:r>
        </w:fldSimple>
      </w:sdtContent>
    </w:sdt>
  </w:p>
  <w:p w:rsidR="000D4129" w:rsidRDefault="000D412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421EE"/>
    <w:rsid w:val="00003B01"/>
    <w:rsid w:val="000C1777"/>
    <w:rsid w:val="000D4129"/>
    <w:rsid w:val="000D4D6D"/>
    <w:rsid w:val="001556A2"/>
    <w:rsid w:val="001B4E69"/>
    <w:rsid w:val="001E1614"/>
    <w:rsid w:val="0028167F"/>
    <w:rsid w:val="002A390D"/>
    <w:rsid w:val="002B3747"/>
    <w:rsid w:val="002C4EAA"/>
    <w:rsid w:val="002F3596"/>
    <w:rsid w:val="003C2EBC"/>
    <w:rsid w:val="003D5D50"/>
    <w:rsid w:val="00465FF0"/>
    <w:rsid w:val="004A3EF1"/>
    <w:rsid w:val="004F4C42"/>
    <w:rsid w:val="00523CB7"/>
    <w:rsid w:val="0053455F"/>
    <w:rsid w:val="005C6BE4"/>
    <w:rsid w:val="005F31C3"/>
    <w:rsid w:val="00656C6A"/>
    <w:rsid w:val="006B082C"/>
    <w:rsid w:val="0081273B"/>
    <w:rsid w:val="008401A0"/>
    <w:rsid w:val="009063FA"/>
    <w:rsid w:val="009405D3"/>
    <w:rsid w:val="00953C40"/>
    <w:rsid w:val="00A521C1"/>
    <w:rsid w:val="00A9780A"/>
    <w:rsid w:val="00B421EE"/>
    <w:rsid w:val="00B5551A"/>
    <w:rsid w:val="00B561DD"/>
    <w:rsid w:val="00B729FC"/>
    <w:rsid w:val="00B7424E"/>
    <w:rsid w:val="00CB0EC7"/>
    <w:rsid w:val="00CF5DAE"/>
    <w:rsid w:val="00D4559A"/>
    <w:rsid w:val="00D61E3F"/>
    <w:rsid w:val="00D8264B"/>
    <w:rsid w:val="00E601FF"/>
    <w:rsid w:val="00E87B5C"/>
    <w:rsid w:val="00ED493F"/>
    <w:rsid w:val="00F73F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21C1"/>
    <w:pPr>
      <w:tabs>
        <w:tab w:val="center" w:pos="4680"/>
        <w:tab w:val="right" w:pos="9360"/>
      </w:tabs>
      <w:spacing w:after="0"/>
    </w:pPr>
  </w:style>
  <w:style w:type="character" w:customStyle="1" w:styleId="HeaderChar">
    <w:name w:val="Header Char"/>
    <w:basedOn w:val="DefaultParagraphFont"/>
    <w:link w:val="Header"/>
    <w:uiPriority w:val="99"/>
    <w:rsid w:val="00A521C1"/>
  </w:style>
  <w:style w:type="paragraph" w:styleId="Footer">
    <w:name w:val="footer"/>
    <w:basedOn w:val="Normal"/>
    <w:link w:val="FooterChar"/>
    <w:uiPriority w:val="99"/>
    <w:semiHidden/>
    <w:unhideWhenUsed/>
    <w:rsid w:val="00A521C1"/>
    <w:pPr>
      <w:tabs>
        <w:tab w:val="center" w:pos="4680"/>
        <w:tab w:val="right" w:pos="9360"/>
      </w:tabs>
      <w:spacing w:after="0"/>
    </w:pPr>
  </w:style>
  <w:style w:type="character" w:customStyle="1" w:styleId="FooterChar">
    <w:name w:val="Footer Char"/>
    <w:basedOn w:val="DefaultParagraphFont"/>
    <w:link w:val="Footer"/>
    <w:uiPriority w:val="99"/>
    <w:semiHidden/>
    <w:rsid w:val="00A521C1"/>
  </w:style>
  <w:style w:type="paragraph" w:styleId="Bibliography">
    <w:name w:val="Bibliography"/>
    <w:basedOn w:val="Normal"/>
    <w:next w:val="Normal"/>
    <w:uiPriority w:val="37"/>
    <w:unhideWhenUsed/>
    <w:rsid w:val="000D412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Bor06</b:Tag>
    <b:SourceType>JournalArticle</b:SourceType>
    <b:Guid>{2A4AEE59-31BF-4F06-A300-FE6E3DAE97D4}</b:Guid>
    <b:LCID>0</b:LCID>
    <b:Author>
      <b:Author>
        <b:NameList>
          <b:Person>
            <b:Last>Borden</b:Last>
            <b:First>K.</b:First>
          </b:Person>
          <b:Person>
            <b:Last>Cooper</b:Last>
            <b:First>J.</b:First>
          </b:Person>
        </b:NameList>
      </b:Author>
    </b:Author>
    <b:Title>I'm from the Government -- and I'm Here to Help You</b:Title>
    <b:Year>2006</b:Year>
    <b:JournalName>Intergrative Cases</b:JournalName>
    <b:Pages>230-</b:Pages>
    <b:RefOrder>1</b:RefOrder>
  </b:Source>
  <b:Source>
    <b:Tag>Edw14</b:Tag>
    <b:SourceType>Book</b:SourceType>
    <b:Guid>{4B4C0B3E-EAC9-4EB2-A8F7-70EDD47BCB66}</b:Guid>
    <b:LCID>0</b:LCID>
    <b:Author>
      <b:Author>
        <b:NameList>
          <b:Person>
            <b:Last>Edwards</b:Last>
            <b:First>J.</b:First>
          </b:Person>
        </b:NameList>
      </b:Author>
    </b:Author>
    <b:Title>Mastering Strategic Management - 1st Canadian Edition</b:Title>
    <b:Year>2014</b:Year>
    <b:City>Vancouver</b:City>
    <b:Publisher>BCcampus</b:Publisher>
    <b:RefOrder>2</b:RefOrder>
  </b:Source>
</b:Sources>
</file>

<file path=customXml/itemProps1.xml><?xml version="1.0" encoding="utf-8"?>
<ds:datastoreItem xmlns:ds="http://schemas.openxmlformats.org/officeDocument/2006/customXml" ds:itemID="{42055240-E229-4631-9241-9A7A3719E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1393</Words>
  <Characters>7945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2019-12-21T06:37:00Z</dcterms:created>
  <dcterms:modified xsi:type="dcterms:W3CDTF">2019-12-21T06:37:00Z</dcterms:modified>
</cp:coreProperties>
</file>